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firstLine="2000" w:firstLineChars="50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"/>
        </w:rPr>
        <w:t>2021年度重大项目和标志性成果培育清单</w:t>
      </w:r>
    </w:p>
    <w:bookmarkEnd w:id="0"/>
    <w:p>
      <w:pPr>
        <w:widowControl/>
        <w:adjustRightInd w:val="0"/>
        <w:snapToGrid w:val="0"/>
        <w:ind w:firstLine="2000" w:firstLineChars="50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"/>
        </w:rPr>
      </w:pPr>
    </w:p>
    <w:tbl>
      <w:tblPr>
        <w:tblStyle w:val="2"/>
        <w:tblW w:w="114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2975"/>
        <w:gridCol w:w="1590"/>
        <w:gridCol w:w="1905"/>
        <w:gridCol w:w="1643"/>
        <w:gridCol w:w="24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培育类型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培育目标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新一代履带式起重机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关键技术研究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李兵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工学院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重大项目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500万以上企业委托项目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新型治疗性松材线虫病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药剂产品及剂型研发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张立钦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生命科学学院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标志性成果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国家科学技术进步奖二等奖（参与）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氧化铁颜料新产品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关键技术研发及产业化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潘国祥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工学院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标志性成果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省部级一等奖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67A3C"/>
    <w:rsid w:val="6656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2022-04-22T01:35:00Z</dcterms:created>
  <dc:creator>Yao LH</dc:creator>
  <cp:lastModifiedBy>Yao LH</cp:lastModifiedBy>
  <dcterms:modified xsi:type="dcterms:W3CDTF">2022-04-22T01:38:47Z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